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00" w:rsidRPr="008611A1" w:rsidRDefault="004E1100" w:rsidP="008611A1">
      <w:pPr>
        <w:spacing w:before="100" w:beforeAutospacing="1" w:after="100" w:afterAutospacing="1" w:line="240" w:lineRule="auto"/>
        <w:outlineLvl w:val="1"/>
        <w:rPr>
          <w:rFonts w:asciiTheme="minorHAnsi" w:eastAsia="Times New Roman" w:hAnsiTheme="minorHAnsi" w:cstheme="minorHAnsi"/>
          <w:b/>
          <w:bCs/>
          <w:color w:val="333333"/>
          <w:sz w:val="24"/>
          <w:szCs w:val="24"/>
        </w:rPr>
      </w:pPr>
      <w:r w:rsidRPr="008611A1">
        <w:rPr>
          <w:rFonts w:asciiTheme="minorHAnsi" w:eastAsia="Times New Roman" w:hAnsiTheme="minorHAnsi" w:cstheme="minorHAnsi"/>
          <w:b/>
          <w:bCs/>
          <w:color w:val="333333"/>
          <w:sz w:val="24"/>
          <w:szCs w:val="24"/>
        </w:rPr>
        <w:t>CASE 3: Charitable Contributio</w:t>
      </w:r>
      <w:bookmarkStart w:id="0" w:name="_GoBack"/>
      <w:bookmarkEnd w:id="0"/>
      <w:r w:rsidRPr="008611A1">
        <w:rPr>
          <w:rFonts w:asciiTheme="minorHAnsi" w:eastAsia="Times New Roman" w:hAnsiTheme="minorHAnsi" w:cstheme="minorHAnsi"/>
          <w:b/>
          <w:bCs/>
          <w:color w:val="333333"/>
          <w:sz w:val="24"/>
          <w:szCs w:val="24"/>
        </w:rPr>
        <w:t>ns and Debt: A Comparison of St. Jude Children’s Research Hospital/ALSAC and Universal Health Services</w:t>
      </w:r>
    </w:p>
    <w:p w:rsidR="004E1100" w:rsidRPr="008611A1" w:rsidRDefault="004E1100"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Hospitals are an industry in which both not-for-profits and investor-owned facilities operate. The sources of capital available to the not-for-profits include charitable contributions and debt offerings—unless they are governmental, in which case, higher taxes are also an alternative. Debt availability is always, in part, a function of performance, and just as failures have arisen in both sectors, about one-third of the investor-owned hospitals have been described as losing money. Of interest is how can one effectively evaluate such an industry, with this type of diversity in organizational forms and capital availability? A necessary prerequisite to such an evaluation is to have a firm understanding of how charitable contributions are presented.</w:t>
      </w:r>
    </w:p>
    <w:p w:rsidR="004E1100" w:rsidRPr="008611A1" w:rsidRDefault="004E1100"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lastRenderedPageBreak/>
        <w:t>St. Jude Children’s Research Hospital/ALSAC has the mission of finding cures for children with catastrophic diseases through research and treatment. For the fiscal year 1999, this entity reported total assets of $221,664,232 and income of $177,071,890. A Web site at </w:t>
      </w:r>
      <w:hyperlink r:id="rId7" w:history="1">
        <w:r w:rsidRPr="008611A1">
          <w:rPr>
            <w:rFonts w:asciiTheme="minorHAnsi" w:eastAsia="Times New Roman" w:hAnsiTheme="minorHAnsi" w:cstheme="minorHAnsi"/>
            <w:b/>
            <w:bCs/>
            <w:color w:val="0D8CD6"/>
            <w:sz w:val="24"/>
            <w:szCs w:val="24"/>
            <w:u w:val="single"/>
          </w:rPr>
          <w:t>http://www.stjude.org</w:t>
        </w:r>
      </w:hyperlink>
      <w:r w:rsidRPr="008611A1">
        <w:rPr>
          <w:rFonts w:asciiTheme="minorHAnsi" w:eastAsia="Times New Roman" w:hAnsiTheme="minorHAnsi" w:cstheme="minorHAnsi"/>
          <w:color w:val="333333"/>
          <w:sz w:val="24"/>
          <w:szCs w:val="24"/>
        </w:rPr>
        <w:t>, as well as Guidestar’s listing, references a Form 990 (Return of Organization Exempt from Income Tax) filing, availability of audited financial statements upon request, and information that the hospital has 2,100 employees and 350 volunteers. Founded in 1962, the organization seeks funds from contributions and grants for unrestricted operating expenses, specific projects, buildings, and endowments. More than 4,000 patients are seen annually, with a hospital maintaining 56 beds. The Form 990, Part III states that the hospital provided 15,231 inpatient days of care during the fiscal year and patients made 40,982 clinic visits. ALSAC is the American Lebanese Syrian Associated Charities, Inc., the fund-raising arm of St. Jude Children’s Research Hospital. It reported 1999 total assets of $1,007,699,320 and income of $274,123,399. This organization reports the number of employees as 565 and the number of volunteers as 800,000. With its sole focus on the hospital, ALSAC’s self-description explains that no child has ever been turned away due to an inability to pay for treatment and explains key accomplishments in the research area achieved by St. Jude’s research and treatment of children with catastrophic diseases. What is borne out by the example of St. Jude is the fact that a review of the Form 990 filed for the fiscal year ending 6/30/99 indicates in Part VI the names of related organizations: ALSAC and St. Jude Hospital Foundation, both of which are tax exempt. To gain a sense of capital availability to a not-for-profit entity, affiliated entities must be considered. In addition, the role of volunteers is a source of human capital not effectively captured within the framework of financial statements for not-for-profits, as reflected in the Form 990 for the fiscal year ending 6/30/99 for ALSAC, which states in Part VI:</w:t>
      </w:r>
    </w:p>
    <w:p w:rsidR="004E1100" w:rsidRPr="008611A1" w:rsidRDefault="004E1100"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Unpaid volunteers have made significant contributions of their time, principally in fund-raising activities. The value of these services is not recognized in the financial statements since it is not susceptible to an objective measurement or valuation and because the activities of these volunteers are not subject to the operating supervision and control present in an employer/employee relationship.</w:t>
      </w:r>
    </w:p>
    <w:p w:rsidR="004E1100" w:rsidRPr="008611A1" w:rsidRDefault="004E1100"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Hence, as one evaluates capital sources and uses by not-for-profits, care is needed to consider affiliated organizations’ role, total contributions, and the effect of volunteerism on the comparability between not-for-profit and investor-owned operations.</w:t>
      </w:r>
    </w:p>
    <w:p w:rsidR="004E1100" w:rsidRPr="008611A1" w:rsidRDefault="004E1100"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Universal Health Services, Inc. filed its 10-K on March 28, 2001, for the calendar year 2000, which includes comparative information for 1999. Analysts have described the company as the most aggressive company in the industry over the 1999–2001 time frame in making acquisitions, particularly of not-for-profit operations and investor-owned operations experiencing losses. The company is praised for it high operating leverage, the relatively small number of shareholders relative to the magnitude of total revenue, and stock price as a multiple of earnings. The company operates 59 hospitals and, as of 1999, had an average number of licensed beds of 4,806 at acute care hospitals and 1,976 at behavioral health centers, with patient days of 963,842 and 444,632, respectively. Of interest is a commentary on the competition found in the company’s filing:</w:t>
      </w:r>
    </w:p>
    <w:p w:rsidR="004E1100" w:rsidRPr="008611A1" w:rsidRDefault="004E1100" w:rsidP="008611A1">
      <w:pPr>
        <w:shd w:val="clear" w:color="auto" w:fill="FFFFFF"/>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Competition</w:t>
      </w:r>
    </w:p>
    <w:p w:rsidR="004E1100" w:rsidRPr="008611A1" w:rsidRDefault="004E1100" w:rsidP="008611A1">
      <w:pPr>
        <w:shd w:val="clear" w:color="auto" w:fill="FFFFFF"/>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In all geographical areas in which the Company operates, there are other hospitals which provide services comparable to those offered by the Company’s hospitals, some of which are owned by governmental agencies and supported by tax revenues, and others of which are owned by nonprofit corporations and may be supported to a large extent by endowments and charitable contributions. Such support is not available to the Company’s hospitals. Certain of the Company’s competitors have greater financial resources, are better equipped and offer a broader range of services than the Company. Outpatient treatment and diagnostic facilities, outpatient surgical centers and freestanding ambulatory surgical centers also impact the healthcare marketplace. In recent years, competition among healthcare providers for patients has intensified as hospital occupancy rates in the United States have declined due to, among other things, regulatory and technological changes, increasing use of managed care payment systems, cost containment pressures, a shift toward outpatient treatment and an increasing supply of physicians. The Company’s strategies are designed, and management believes that its facilities are positioned, to be competitive under these changing circumstances. </w:t>
      </w:r>
      <w:r w:rsidRPr="008611A1">
        <w:rPr>
          <w:rFonts w:asciiTheme="minorHAnsi" w:eastAsia="Times New Roman" w:hAnsiTheme="minorHAnsi" w:cstheme="minorHAnsi"/>
          <w:i/>
          <w:iCs/>
          <w:color w:val="333333"/>
          <w:sz w:val="24"/>
          <w:szCs w:val="24"/>
        </w:rPr>
        <w:t>(Source: 10-K filed 3/28/2001)</w:t>
      </w:r>
    </w:p>
    <w:p w:rsidR="004E1100" w:rsidRDefault="004E1100"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Financial information is provided in </w:t>
      </w:r>
      <w:hyperlink r:id="rId8" w:history="1">
        <w:r w:rsidRPr="008611A1">
          <w:rPr>
            <w:rFonts w:asciiTheme="minorHAnsi" w:eastAsia="Times New Roman" w:hAnsiTheme="minorHAnsi" w:cstheme="minorHAnsi"/>
            <w:b/>
            <w:bCs/>
            <w:color w:val="0D8CD6"/>
            <w:sz w:val="24"/>
            <w:szCs w:val="24"/>
            <w:u w:val="single"/>
          </w:rPr>
          <w:t>Tables 5.3-1</w:t>
        </w:r>
      </w:hyperlink>
      <w:r w:rsidRPr="008611A1">
        <w:rPr>
          <w:rFonts w:asciiTheme="minorHAnsi" w:eastAsia="Times New Roman" w:hAnsiTheme="minorHAnsi" w:cstheme="minorHAnsi"/>
          <w:color w:val="333333"/>
          <w:sz w:val="24"/>
          <w:szCs w:val="24"/>
        </w:rPr>
        <w:t> and </w:t>
      </w:r>
      <w:hyperlink r:id="rId9" w:history="1">
        <w:r w:rsidRPr="008611A1">
          <w:rPr>
            <w:rFonts w:asciiTheme="minorHAnsi" w:eastAsia="Times New Roman" w:hAnsiTheme="minorHAnsi" w:cstheme="minorHAnsi"/>
            <w:b/>
            <w:bCs/>
            <w:color w:val="0D8CD6"/>
            <w:sz w:val="24"/>
            <w:szCs w:val="24"/>
            <w:u w:val="single"/>
          </w:rPr>
          <w:t>5.3-2</w:t>
        </w:r>
      </w:hyperlink>
      <w:r w:rsidRPr="008611A1">
        <w:rPr>
          <w:rFonts w:asciiTheme="minorHAnsi" w:eastAsia="Times New Roman" w:hAnsiTheme="minorHAnsi" w:cstheme="minorHAnsi"/>
          <w:color w:val="333333"/>
          <w:sz w:val="24"/>
          <w:szCs w:val="24"/>
        </w:rPr>
        <w:t> for both the not-for-profit and the investor-owned hospitals.</w:t>
      </w:r>
    </w:p>
    <w:p w:rsidR="008611A1" w:rsidRDefault="008611A1"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p>
    <w:p w:rsidR="008611A1" w:rsidRDefault="008611A1"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p>
    <w:p w:rsidR="008611A1" w:rsidRPr="008611A1" w:rsidRDefault="008611A1" w:rsidP="008611A1">
      <w:pPr>
        <w:spacing w:before="100" w:beforeAutospacing="1" w:after="100" w:afterAutospacing="1" w:line="240" w:lineRule="auto"/>
        <w:jc w:val="both"/>
        <w:rPr>
          <w:rFonts w:asciiTheme="minorHAnsi" w:eastAsia="Times New Roman" w:hAnsiTheme="minorHAnsi" w:cstheme="minorHAnsi"/>
          <w:color w:val="333333"/>
          <w:sz w:val="24"/>
          <w:szCs w:val="24"/>
        </w:rPr>
      </w:pPr>
    </w:p>
    <w:tbl>
      <w:tblPr>
        <w:tblpPr w:leftFromText="180" w:rightFromText="180" w:vertAnchor="text" w:horzAnchor="margin" w:tblpXSpec="center" w:tblpY="1006"/>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4"/>
        <w:gridCol w:w="2576"/>
        <w:gridCol w:w="3545"/>
      </w:tblGrid>
      <w:tr w:rsidR="004E1100" w:rsidRPr="008611A1" w:rsidTr="004E1100">
        <w:trPr>
          <w:tblHead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b/>
                <w:bCs/>
                <w:sz w:val="24"/>
                <w:szCs w:val="24"/>
              </w:rPr>
            </w:pPr>
            <w:r w:rsidRPr="008611A1">
              <w:rPr>
                <w:rFonts w:asciiTheme="minorHAnsi" w:eastAsia="Times New Roman" w:hAnsiTheme="minorHAnsi" w:cstheme="minorHAnsi"/>
                <w:b/>
                <w:bCs/>
                <w:i/>
                <w:iCs/>
                <w:sz w:val="24"/>
                <w:szCs w:val="24"/>
              </w:rPr>
              <w:t>Fiscal Year Ended 1999</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b/>
                <w:bCs/>
                <w:sz w:val="24"/>
                <w:szCs w:val="24"/>
              </w:rPr>
            </w:pPr>
            <w:r w:rsidRPr="008611A1">
              <w:rPr>
                <w:rFonts w:asciiTheme="minorHAnsi" w:eastAsia="Times New Roman" w:hAnsiTheme="minorHAnsi" w:cstheme="minorHAnsi"/>
                <w:b/>
                <w:bCs/>
                <w:i/>
                <w:iCs/>
                <w:sz w:val="24"/>
                <w:szCs w:val="24"/>
              </w:rPr>
              <w:t>St. Jude Children’s Research Hospital Form 990</w:t>
            </w:r>
            <w:hyperlink r:id="rId10" w:history="1">
              <w:r w:rsidRPr="008611A1">
                <w:rPr>
                  <w:rFonts w:asciiTheme="minorHAnsi" w:eastAsia="Times New Roman" w:hAnsiTheme="minorHAnsi" w:cstheme="minorHAnsi"/>
                  <w:b/>
                  <w:bCs/>
                  <w:i/>
                  <w:iCs/>
                  <w:color w:val="0D8CD6"/>
                  <w:sz w:val="24"/>
                  <w:szCs w:val="24"/>
                  <w:u w:val="single"/>
                </w:rPr>
                <w:t>*</w:t>
              </w:r>
            </w:hyperlink>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b/>
                <w:bCs/>
                <w:sz w:val="24"/>
                <w:szCs w:val="24"/>
              </w:rPr>
            </w:pPr>
            <w:r w:rsidRPr="008611A1">
              <w:rPr>
                <w:rFonts w:asciiTheme="minorHAnsi" w:eastAsia="Times New Roman" w:hAnsiTheme="minorHAnsi" w:cstheme="minorHAnsi"/>
                <w:b/>
                <w:bCs/>
                <w:i/>
                <w:iCs/>
                <w:sz w:val="24"/>
                <w:szCs w:val="24"/>
              </w:rPr>
              <w:t>American Lebanese Syrian Associated Charities, Inc. (ALSAC) Form 990</w:t>
            </w:r>
            <w:hyperlink r:id="rId11" w:history="1">
              <w:r w:rsidRPr="008611A1">
                <w:rPr>
                  <w:rFonts w:asciiTheme="minorHAnsi" w:eastAsia="Times New Roman" w:hAnsiTheme="minorHAnsi" w:cstheme="minorHAnsi"/>
                  <w:b/>
                  <w:bCs/>
                  <w:i/>
                  <w:iCs/>
                  <w:color w:val="0D8CD6"/>
                  <w:sz w:val="24"/>
                  <w:szCs w:val="24"/>
                  <w:u w:val="single"/>
                </w:rPr>
                <w:t>*</w:t>
              </w:r>
            </w:hyperlink>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Contributions, gifts, grants and similar amounts received: Direct public support</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$91,978,426</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$231,793,748</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Indirect public support</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2,906,934</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Government contributions (grants)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31,469,447</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Program service revenue, including government fees and contracts (i.e., health insurance revenue)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46,034,710</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Accounts receivable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24,217,029</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4,230,764</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Pledges receivable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23,604,748</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Allowance for doubtful accounts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9,363,328</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Program service expenses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99,282,906</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Program service expenses: Research</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87,225,830</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Program service expenses: Education and training</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5,471,186</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Program service expenses: Medical Services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93,735,602</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Reconciliation of revenue, gains, and other support to audited numbers: net unrealized gains on investments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−4,023,815</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65,891,269</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Deferred grant revenue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1,857,628 (Statement 5)</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Support from American Lebanese Syrian Associated Charities, Inc.</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91,978,426 (Statement 7)</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91,978,426 (paid per Statements 4, 6)</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Excluded contributions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2,746,295 (Statement 1)</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Excess or (deficit) for the year</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−10,933,191</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120,521,982</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Net assets or fund balances at end of year</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199,707,440</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994,501,910</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Temporarily restricted</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15,715,890</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Permanently restricted</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14,000,000</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247,147,826</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Total liabilities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21,956,792</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7,017,192</w:t>
            </w:r>
          </w:p>
        </w:tc>
      </w:tr>
      <w:tr w:rsidR="004E1100" w:rsidRPr="008611A1" w:rsidTr="004E1100">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Schedule of deferred debits &amp; credits by contract (FAS 116 adjustment noted to result in this deferred revenue)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157,628</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bl>
    <w:p w:rsidR="004E1100" w:rsidRPr="008611A1" w:rsidRDefault="004E1100" w:rsidP="008611A1">
      <w:pPr>
        <w:spacing w:before="100" w:beforeAutospacing="1" w:after="100" w:afterAutospacing="1" w:line="240" w:lineRule="auto"/>
        <w:jc w:val="center"/>
        <w:outlineLvl w:val="1"/>
        <w:rPr>
          <w:rFonts w:asciiTheme="minorHAnsi" w:eastAsia="Times New Roman" w:hAnsiTheme="minorHAnsi" w:cstheme="minorHAnsi"/>
          <w:b/>
          <w:bCs/>
          <w:color w:val="333333"/>
          <w:sz w:val="24"/>
          <w:szCs w:val="24"/>
        </w:rPr>
      </w:pPr>
      <w:r w:rsidRPr="008611A1">
        <w:rPr>
          <w:rFonts w:asciiTheme="minorHAnsi" w:eastAsia="Times New Roman" w:hAnsiTheme="minorHAnsi" w:cstheme="minorHAnsi"/>
          <w:b/>
          <w:bCs/>
          <w:color w:val="333333"/>
          <w:sz w:val="24"/>
          <w:szCs w:val="24"/>
        </w:rPr>
        <w:t>Table 5.3-1: Financial Comparisons of the Not-for-Profit Entities</w:t>
      </w:r>
    </w:p>
    <w:p w:rsidR="004E1100" w:rsidRPr="008611A1" w:rsidRDefault="004E1100" w:rsidP="004E1100">
      <w:pPr>
        <w:spacing w:after="0" w:line="240" w:lineRule="auto"/>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vertAlign w:val="superscript"/>
        </w:rPr>
        <w:t>*</w:t>
      </w:r>
    </w:p>
    <w:p w:rsidR="004E1100" w:rsidRDefault="004E1100" w:rsidP="004E1100">
      <w:pPr>
        <w:spacing w:before="100" w:beforeAutospacing="1" w:after="100" w:afterAutospacing="1" w:line="240" w:lineRule="auto"/>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The </w:t>
      </w:r>
      <w:hyperlink r:id="rId12" w:history="1">
        <w:r w:rsidRPr="008611A1">
          <w:rPr>
            <w:rFonts w:asciiTheme="minorHAnsi" w:eastAsia="Times New Roman" w:hAnsiTheme="minorHAnsi" w:cstheme="minorHAnsi"/>
            <w:b/>
            <w:bCs/>
            <w:color w:val="0D8CD6"/>
            <w:sz w:val="24"/>
            <w:szCs w:val="24"/>
            <w:u w:val="single"/>
          </w:rPr>
          <w:t>GuideStar.org</w:t>
        </w:r>
      </w:hyperlink>
      <w:r w:rsidRPr="008611A1">
        <w:rPr>
          <w:rFonts w:asciiTheme="minorHAnsi" w:eastAsia="Times New Roman" w:hAnsiTheme="minorHAnsi" w:cstheme="minorHAnsi"/>
          <w:color w:val="333333"/>
          <w:sz w:val="24"/>
          <w:szCs w:val="24"/>
        </w:rPr>
        <w:t> Web site (</w:t>
      </w:r>
      <w:hyperlink r:id="rId13" w:history="1">
        <w:r w:rsidRPr="008611A1">
          <w:rPr>
            <w:rFonts w:asciiTheme="minorHAnsi" w:eastAsia="Times New Roman" w:hAnsiTheme="minorHAnsi" w:cstheme="minorHAnsi"/>
            <w:b/>
            <w:bCs/>
            <w:color w:val="0D8CD6"/>
            <w:sz w:val="24"/>
            <w:szCs w:val="24"/>
            <w:u w:val="single"/>
          </w:rPr>
          <w:t>http://www.guidestar.org</w:t>
        </w:r>
      </w:hyperlink>
      <w:r w:rsidRPr="008611A1">
        <w:rPr>
          <w:rFonts w:asciiTheme="minorHAnsi" w:eastAsia="Times New Roman" w:hAnsiTheme="minorHAnsi" w:cstheme="minorHAnsi"/>
          <w:color w:val="333333"/>
          <w:sz w:val="24"/>
          <w:szCs w:val="24"/>
        </w:rPr>
        <w:t>) provides access to Forms 990 in .PDF format.</w:t>
      </w:r>
    </w:p>
    <w:p w:rsidR="008611A1" w:rsidRDefault="008611A1" w:rsidP="004E1100">
      <w:pPr>
        <w:spacing w:before="100" w:beforeAutospacing="1" w:after="100" w:afterAutospacing="1" w:line="240" w:lineRule="auto"/>
        <w:rPr>
          <w:rFonts w:asciiTheme="minorHAnsi" w:eastAsia="Times New Roman" w:hAnsiTheme="minorHAnsi" w:cstheme="minorHAnsi"/>
          <w:color w:val="333333"/>
          <w:sz w:val="24"/>
          <w:szCs w:val="24"/>
        </w:rPr>
      </w:pPr>
    </w:p>
    <w:p w:rsidR="008611A1" w:rsidRDefault="008611A1" w:rsidP="004E1100">
      <w:pPr>
        <w:spacing w:before="100" w:beforeAutospacing="1" w:after="100" w:afterAutospacing="1" w:line="240" w:lineRule="auto"/>
        <w:rPr>
          <w:rFonts w:asciiTheme="minorHAnsi" w:eastAsia="Times New Roman" w:hAnsiTheme="minorHAnsi" w:cstheme="minorHAnsi"/>
          <w:color w:val="333333"/>
          <w:sz w:val="24"/>
          <w:szCs w:val="24"/>
        </w:rPr>
      </w:pPr>
    </w:p>
    <w:p w:rsidR="008611A1" w:rsidRPr="008611A1" w:rsidRDefault="008611A1" w:rsidP="004E1100">
      <w:pPr>
        <w:spacing w:before="100" w:beforeAutospacing="1" w:after="100" w:afterAutospacing="1" w:line="240" w:lineRule="auto"/>
        <w:rPr>
          <w:rFonts w:asciiTheme="minorHAnsi" w:eastAsia="Times New Roman" w:hAnsiTheme="minorHAnsi" w:cstheme="minorHAnsi"/>
          <w:color w:val="333333"/>
          <w:sz w:val="24"/>
          <w:szCs w:val="24"/>
        </w:rPr>
      </w:pPr>
    </w:p>
    <w:p w:rsidR="004E1100" w:rsidRPr="008611A1" w:rsidRDefault="004E1100" w:rsidP="008611A1">
      <w:pPr>
        <w:spacing w:before="100" w:beforeAutospacing="1" w:after="100" w:afterAutospacing="1" w:line="240" w:lineRule="auto"/>
        <w:jc w:val="center"/>
        <w:outlineLvl w:val="1"/>
        <w:rPr>
          <w:rFonts w:asciiTheme="minorHAnsi" w:eastAsia="Times New Roman" w:hAnsiTheme="minorHAnsi" w:cstheme="minorHAnsi"/>
          <w:b/>
          <w:bCs/>
          <w:color w:val="333333"/>
          <w:sz w:val="24"/>
          <w:szCs w:val="24"/>
        </w:rPr>
      </w:pPr>
      <w:r w:rsidRPr="008611A1">
        <w:rPr>
          <w:rFonts w:asciiTheme="minorHAnsi" w:eastAsia="Times New Roman" w:hAnsiTheme="minorHAnsi" w:cstheme="minorHAnsi"/>
          <w:b/>
          <w:bCs/>
          <w:color w:val="333333"/>
          <w:sz w:val="24"/>
          <w:szCs w:val="24"/>
        </w:rPr>
        <w:t>Table 5.3-2: Universal Health Services, Inc.’s Financial Excerpts</w:t>
      </w:r>
      <w:hyperlink r:id="rId14" w:history="1">
        <w:r w:rsidRPr="008611A1">
          <w:rPr>
            <w:rFonts w:asciiTheme="minorHAnsi" w:eastAsia="Times New Roman" w:hAnsiTheme="minorHAnsi" w:cstheme="minorHAnsi"/>
            <w:b/>
            <w:bCs/>
            <w:color w:val="0D8CD6"/>
            <w:sz w:val="24"/>
            <w:szCs w:val="24"/>
            <w:u w:val="single"/>
          </w:rPr>
          <w:t>*</w:t>
        </w:r>
      </w:hyperlink>
    </w:p>
    <w:tbl>
      <w:tblPr>
        <w:tblW w:w="11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96"/>
        <w:gridCol w:w="5149"/>
      </w:tblGrid>
      <w:tr w:rsidR="004E1100" w:rsidRPr="008611A1" w:rsidTr="004E1100">
        <w:trPr>
          <w:tblHeade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b/>
                <w:bCs/>
                <w:sz w:val="24"/>
                <w:szCs w:val="24"/>
              </w:rPr>
            </w:pPr>
            <w:r w:rsidRPr="008611A1">
              <w:rPr>
                <w:rFonts w:asciiTheme="minorHAnsi" w:eastAsia="Times New Roman" w:hAnsiTheme="minorHAnsi" w:cstheme="minorHAnsi"/>
                <w:b/>
                <w:bCs/>
                <w:i/>
                <w:iCs/>
                <w:sz w:val="24"/>
                <w:szCs w:val="24"/>
              </w:rPr>
              <w:t>Income Statements (in thousands)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b/>
                <w:bCs/>
                <w:sz w:val="24"/>
                <w:szCs w:val="24"/>
              </w:rPr>
            </w:pPr>
            <w:r w:rsidRPr="008611A1">
              <w:rPr>
                <w:rFonts w:asciiTheme="minorHAnsi" w:eastAsia="Times New Roman" w:hAnsiTheme="minorHAnsi" w:cstheme="minorHAnsi"/>
                <w:b/>
                <w:bCs/>
                <w:i/>
                <w:iCs/>
                <w:sz w:val="24"/>
                <w:szCs w:val="24"/>
              </w:rPr>
              <w:t>Reported 1999 Calendar Year</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Net revenues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$2,042,380</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Operating charges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1,913,346</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Components: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Salaries, wages, and benefits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793,529</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Provision for doubtful accounts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166,139</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Lease and rental expense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49,029</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  Interest expense, net</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26,872</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Net income</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77,775</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Total assets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1,497,973</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Total liabilities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856,362</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Total retained earnings</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482,960</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Capital stock</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306</w:t>
            </w:r>
          </w:p>
        </w:tc>
      </w:tr>
      <w:tr w:rsidR="004E1100" w:rsidRPr="008611A1" w:rsidTr="004E1100">
        <w:trPr>
          <w:jc w:val="center"/>
        </w:trPr>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Paid-in capital in excess of par</w:t>
            </w:r>
          </w:p>
        </w:tc>
        <w:tc>
          <w:tcPr>
            <w:tcW w:w="0" w:type="auto"/>
            <w:shd w:val="clear" w:color="auto" w:fill="FFFFFF"/>
            <w:tcMar>
              <w:top w:w="0" w:type="dxa"/>
              <w:left w:w="0" w:type="dxa"/>
              <w:bottom w:w="0" w:type="dxa"/>
              <w:right w:w="0" w:type="dxa"/>
            </w:tcMar>
            <w:vAlign w:val="center"/>
            <w:hideMark/>
          </w:tcPr>
          <w:p w:rsidR="004E1100" w:rsidRPr="008611A1" w:rsidRDefault="004E1100" w:rsidP="004E1100">
            <w:pPr>
              <w:spacing w:before="100" w:beforeAutospacing="1" w:after="100" w:afterAutospacing="1" w:line="240" w:lineRule="auto"/>
              <w:jc w:val="center"/>
              <w:rPr>
                <w:rFonts w:asciiTheme="minorHAnsi" w:eastAsia="Times New Roman" w:hAnsiTheme="minorHAnsi" w:cstheme="minorHAnsi"/>
                <w:sz w:val="24"/>
                <w:szCs w:val="24"/>
              </w:rPr>
            </w:pPr>
            <w:r w:rsidRPr="008611A1">
              <w:rPr>
                <w:rFonts w:asciiTheme="minorHAnsi" w:eastAsia="Times New Roman" w:hAnsiTheme="minorHAnsi" w:cstheme="minorHAnsi"/>
                <w:sz w:val="24"/>
                <w:szCs w:val="24"/>
              </w:rPr>
              <w:t>158,345</w:t>
            </w:r>
          </w:p>
        </w:tc>
      </w:tr>
    </w:tbl>
    <w:p w:rsidR="004E1100" w:rsidRPr="008611A1" w:rsidRDefault="004E1100" w:rsidP="004E1100">
      <w:pPr>
        <w:spacing w:after="0" w:line="240" w:lineRule="auto"/>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vertAlign w:val="superscript"/>
        </w:rPr>
        <w:t>*</w:t>
      </w:r>
    </w:p>
    <w:p w:rsidR="004E1100" w:rsidRPr="008611A1" w:rsidRDefault="004E1100" w:rsidP="004E1100">
      <w:pPr>
        <w:spacing w:before="100" w:beforeAutospacing="1" w:after="100" w:afterAutospacing="1" w:line="240" w:lineRule="auto"/>
        <w:rPr>
          <w:rFonts w:asciiTheme="minorHAnsi" w:eastAsia="Times New Roman" w:hAnsiTheme="minorHAnsi" w:cstheme="minorHAnsi"/>
          <w:color w:val="333333"/>
          <w:sz w:val="24"/>
          <w:szCs w:val="24"/>
        </w:rPr>
      </w:pPr>
      <w:r w:rsidRPr="008611A1">
        <w:rPr>
          <w:rFonts w:asciiTheme="minorHAnsi" w:eastAsia="Times New Roman" w:hAnsiTheme="minorHAnsi" w:cstheme="minorHAnsi"/>
          <w:color w:val="333333"/>
          <w:sz w:val="24"/>
          <w:szCs w:val="24"/>
        </w:rPr>
        <w:t>The 10-K filing as of 3/28/2001 at EDGAR (</w:t>
      </w:r>
      <w:hyperlink r:id="rId15" w:history="1">
        <w:r w:rsidRPr="008611A1">
          <w:rPr>
            <w:rFonts w:asciiTheme="minorHAnsi" w:eastAsia="Times New Roman" w:hAnsiTheme="minorHAnsi" w:cstheme="minorHAnsi"/>
            <w:b/>
            <w:bCs/>
            <w:color w:val="0D8CD6"/>
            <w:sz w:val="24"/>
            <w:szCs w:val="24"/>
            <w:u w:val="single"/>
          </w:rPr>
          <w:t>http://www.sec.gov/edgar.shtml</w:t>
        </w:r>
      </w:hyperlink>
      <w:r w:rsidRPr="008611A1">
        <w:rPr>
          <w:rFonts w:asciiTheme="minorHAnsi" w:eastAsia="Times New Roman" w:hAnsiTheme="minorHAnsi" w:cstheme="minorHAnsi"/>
          <w:color w:val="333333"/>
          <w:sz w:val="24"/>
          <w:szCs w:val="24"/>
        </w:rPr>
        <w:t>) provides financial statement information for 2000 and 1999.</w:t>
      </w:r>
    </w:p>
    <w:p w:rsidR="004E1100" w:rsidRPr="008611A1" w:rsidRDefault="004E1100" w:rsidP="004E1100">
      <w:pPr>
        <w:spacing w:before="100" w:beforeAutospacing="1" w:after="100" w:afterAutospacing="1" w:line="240" w:lineRule="auto"/>
        <w:outlineLvl w:val="1"/>
        <w:rPr>
          <w:rFonts w:asciiTheme="minorHAnsi" w:eastAsia="Times New Roman" w:hAnsiTheme="minorHAnsi" w:cstheme="minorHAnsi"/>
          <w:b/>
          <w:bCs/>
          <w:color w:val="C00000"/>
          <w:sz w:val="24"/>
          <w:szCs w:val="24"/>
        </w:rPr>
      </w:pPr>
      <w:r w:rsidRPr="008611A1">
        <w:rPr>
          <w:rFonts w:asciiTheme="minorHAnsi" w:eastAsia="Times New Roman" w:hAnsiTheme="minorHAnsi" w:cstheme="minorHAnsi"/>
          <w:b/>
          <w:bCs/>
          <w:color w:val="C00000"/>
          <w:sz w:val="24"/>
          <w:szCs w:val="24"/>
        </w:rPr>
        <w:t>Requirement A: Recording Revenue</w:t>
      </w:r>
    </w:p>
    <w:p w:rsidR="004E1100" w:rsidRPr="008611A1" w:rsidRDefault="004E1100" w:rsidP="008611A1">
      <w:pPr>
        <w:spacing w:before="100" w:beforeAutospacing="1" w:after="100" w:afterAutospacing="1" w:line="240" w:lineRule="auto"/>
        <w:ind w:left="-60"/>
        <w:rPr>
          <w:rFonts w:asciiTheme="minorHAnsi" w:eastAsia="Times New Roman" w:hAnsiTheme="minorHAnsi" w:cstheme="minorHAnsi"/>
          <w:b/>
          <w:i/>
          <w:color w:val="FF0000"/>
          <w:sz w:val="24"/>
          <w:szCs w:val="24"/>
          <w:u w:val="single"/>
        </w:rPr>
      </w:pPr>
      <w:r w:rsidRPr="008611A1">
        <w:rPr>
          <w:rFonts w:asciiTheme="minorHAnsi" w:eastAsia="Times New Roman" w:hAnsiTheme="minorHAnsi" w:cstheme="minorHAnsi"/>
          <w:color w:val="333333"/>
          <w:sz w:val="24"/>
          <w:szCs w:val="24"/>
        </w:rPr>
        <w:t>1. What is meant by the reference in </w:t>
      </w:r>
      <w:hyperlink r:id="rId16" w:history="1">
        <w:r w:rsidRPr="008611A1">
          <w:rPr>
            <w:rFonts w:asciiTheme="minorHAnsi" w:eastAsia="Times New Roman" w:hAnsiTheme="minorHAnsi" w:cstheme="minorHAnsi"/>
            <w:b/>
            <w:bCs/>
            <w:color w:val="0D8CD6"/>
            <w:sz w:val="24"/>
            <w:szCs w:val="24"/>
            <w:u w:val="single"/>
          </w:rPr>
          <w:t>Table 5.3-1</w:t>
        </w:r>
      </w:hyperlink>
      <w:r w:rsidRPr="008611A1">
        <w:rPr>
          <w:rFonts w:asciiTheme="minorHAnsi" w:eastAsia="Times New Roman" w:hAnsiTheme="minorHAnsi" w:cstheme="minorHAnsi"/>
          <w:color w:val="333333"/>
          <w:sz w:val="24"/>
          <w:szCs w:val="24"/>
        </w:rPr>
        <w:t> to an FAS 116 adjustment?</w:t>
      </w:r>
      <w:r w:rsidR="008611A1">
        <w:rPr>
          <w:rFonts w:asciiTheme="minorHAnsi" w:eastAsia="Times New Roman" w:hAnsiTheme="minorHAnsi" w:cstheme="minorHAnsi"/>
          <w:color w:val="333333"/>
          <w:sz w:val="24"/>
          <w:szCs w:val="24"/>
        </w:rPr>
        <w:t xml:space="preserve"> </w:t>
      </w:r>
      <w:r w:rsidR="008611A1" w:rsidRPr="008611A1">
        <w:rPr>
          <w:rFonts w:asciiTheme="minorHAnsi" w:eastAsia="Times New Roman" w:hAnsiTheme="minorHAnsi" w:cstheme="minorHAnsi"/>
          <w:b/>
          <w:i/>
          <w:color w:val="FF0000"/>
          <w:sz w:val="24"/>
          <w:szCs w:val="24"/>
          <w:u w:val="single"/>
        </w:rPr>
        <w:t>(150 words maximum)</w:t>
      </w:r>
    </w:p>
    <w:p w:rsidR="008611A1" w:rsidRPr="008611A1" w:rsidRDefault="004E1100" w:rsidP="008611A1">
      <w:pPr>
        <w:spacing w:before="100" w:beforeAutospacing="1" w:after="100" w:afterAutospacing="1" w:line="240" w:lineRule="auto"/>
        <w:ind w:left="-60"/>
        <w:rPr>
          <w:rFonts w:eastAsia="Times New Roman" w:cs="Calibri"/>
          <w:color w:val="333333"/>
          <w:sz w:val="24"/>
          <w:szCs w:val="24"/>
        </w:rPr>
      </w:pPr>
      <w:r w:rsidRPr="008611A1">
        <w:rPr>
          <w:rFonts w:asciiTheme="minorHAnsi" w:eastAsia="Times New Roman" w:hAnsiTheme="minorHAnsi" w:cstheme="minorHAnsi"/>
          <w:color w:val="333333"/>
          <w:sz w:val="24"/>
          <w:szCs w:val="24"/>
        </w:rPr>
        <w:t>2. How are contributions recorded? Is there a distinction between pledges receivable and accounts receivable?</w:t>
      </w:r>
      <w:r w:rsidR="008611A1" w:rsidRPr="008611A1">
        <w:rPr>
          <w:rFonts w:asciiTheme="minorHAnsi" w:eastAsia="Times New Roman" w:hAnsiTheme="minorHAnsi" w:cstheme="minorHAnsi"/>
          <w:color w:val="333333"/>
          <w:sz w:val="24"/>
          <w:szCs w:val="24"/>
        </w:rPr>
        <w:t xml:space="preserve"> </w:t>
      </w:r>
      <w:r w:rsidR="008611A1" w:rsidRPr="008611A1">
        <w:rPr>
          <w:rFonts w:eastAsia="Times New Roman" w:cs="Calibri"/>
          <w:b/>
          <w:i/>
          <w:color w:val="FF0000"/>
          <w:sz w:val="24"/>
          <w:szCs w:val="24"/>
          <w:u w:val="single"/>
        </w:rPr>
        <w:t>(150 words maximum)</w:t>
      </w:r>
    </w:p>
    <w:p w:rsidR="00696845" w:rsidRPr="008611A1" w:rsidRDefault="00696845" w:rsidP="008611A1">
      <w:pPr>
        <w:spacing w:before="100" w:beforeAutospacing="1" w:after="100" w:afterAutospacing="1" w:line="240" w:lineRule="auto"/>
        <w:ind w:left="-60"/>
        <w:rPr>
          <w:rFonts w:asciiTheme="minorHAnsi" w:hAnsiTheme="minorHAnsi" w:cstheme="minorHAnsi"/>
          <w:sz w:val="24"/>
          <w:szCs w:val="24"/>
        </w:rPr>
      </w:pPr>
    </w:p>
    <w:sectPr w:rsidR="00696845" w:rsidRPr="008611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2F" w:rsidRDefault="0080062F" w:rsidP="004E1100">
      <w:pPr>
        <w:spacing w:after="0" w:line="240" w:lineRule="auto"/>
      </w:pPr>
      <w:r>
        <w:separator/>
      </w:r>
    </w:p>
  </w:endnote>
  <w:endnote w:type="continuationSeparator" w:id="0">
    <w:p w:rsidR="0080062F" w:rsidRDefault="0080062F" w:rsidP="004E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2F" w:rsidRDefault="0080062F" w:rsidP="004E1100">
      <w:pPr>
        <w:spacing w:after="0" w:line="240" w:lineRule="auto"/>
      </w:pPr>
      <w:r>
        <w:separator/>
      </w:r>
    </w:p>
  </w:footnote>
  <w:footnote w:type="continuationSeparator" w:id="0">
    <w:p w:rsidR="0080062F" w:rsidRDefault="0080062F" w:rsidP="004E1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48E8"/>
    <w:multiLevelType w:val="multilevel"/>
    <w:tmpl w:val="47B8B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C6575"/>
    <w:multiLevelType w:val="multilevel"/>
    <w:tmpl w:val="FA4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85EE2"/>
    <w:multiLevelType w:val="multilevel"/>
    <w:tmpl w:val="942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100"/>
    <w:rsid w:val="001B1A19"/>
    <w:rsid w:val="00242BDA"/>
    <w:rsid w:val="002C3713"/>
    <w:rsid w:val="004E1100"/>
    <w:rsid w:val="00696845"/>
    <w:rsid w:val="0080062F"/>
    <w:rsid w:val="008611A1"/>
    <w:rsid w:val="00AD2B8B"/>
    <w:rsid w:val="00D4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49922D"/>
  <w15:chartTrackingRefBased/>
  <w15:docId w15:val="{B80CDFD1-581A-42FC-9B1D-6B8BEDC3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100"/>
  </w:style>
  <w:style w:type="paragraph" w:styleId="Footer">
    <w:name w:val="footer"/>
    <w:basedOn w:val="Normal"/>
    <w:link w:val="FooterChar"/>
    <w:uiPriority w:val="99"/>
    <w:unhideWhenUsed/>
    <w:rsid w:val="004E1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83721">
      <w:bodyDiv w:val="1"/>
      <w:marLeft w:val="0"/>
      <w:marRight w:val="0"/>
      <w:marTop w:val="0"/>
      <w:marBottom w:val="0"/>
      <w:divBdr>
        <w:top w:val="none" w:sz="0" w:space="0" w:color="auto"/>
        <w:left w:val="none" w:sz="0" w:space="0" w:color="auto"/>
        <w:bottom w:val="none" w:sz="0" w:space="0" w:color="auto"/>
        <w:right w:val="none" w:sz="0" w:space="0" w:color="auto"/>
      </w:divBdr>
      <w:divsChild>
        <w:div w:id="36662916">
          <w:marLeft w:val="0"/>
          <w:marRight w:val="0"/>
          <w:marTop w:val="0"/>
          <w:marBottom w:val="0"/>
          <w:divBdr>
            <w:top w:val="none" w:sz="0" w:space="0" w:color="auto"/>
            <w:left w:val="none" w:sz="0" w:space="0" w:color="auto"/>
            <w:bottom w:val="none" w:sz="0" w:space="0" w:color="auto"/>
            <w:right w:val="none" w:sz="0" w:space="0" w:color="auto"/>
          </w:divBdr>
        </w:div>
        <w:div w:id="579408072">
          <w:marLeft w:val="0"/>
          <w:marRight w:val="0"/>
          <w:marTop w:val="0"/>
          <w:marBottom w:val="0"/>
          <w:divBdr>
            <w:top w:val="none" w:sz="0" w:space="0" w:color="auto"/>
            <w:left w:val="none" w:sz="0" w:space="0" w:color="auto"/>
            <w:bottom w:val="none" w:sz="0" w:space="0" w:color="auto"/>
            <w:right w:val="none" w:sz="0" w:space="0" w:color="auto"/>
          </w:divBdr>
          <w:divsChild>
            <w:div w:id="806170318">
              <w:marLeft w:val="0"/>
              <w:marRight w:val="0"/>
              <w:marTop w:val="0"/>
              <w:marBottom w:val="0"/>
              <w:divBdr>
                <w:top w:val="none" w:sz="0" w:space="0" w:color="auto"/>
                <w:left w:val="none" w:sz="0" w:space="0" w:color="auto"/>
                <w:bottom w:val="none" w:sz="0" w:space="0" w:color="auto"/>
                <w:right w:val="none" w:sz="0" w:space="0" w:color="auto"/>
              </w:divBdr>
            </w:div>
          </w:divsChild>
        </w:div>
        <w:div w:id="835654855">
          <w:marLeft w:val="0"/>
          <w:marRight w:val="0"/>
          <w:marTop w:val="0"/>
          <w:marBottom w:val="0"/>
          <w:divBdr>
            <w:top w:val="none" w:sz="0" w:space="0" w:color="auto"/>
            <w:left w:val="none" w:sz="0" w:space="0" w:color="auto"/>
            <w:bottom w:val="none" w:sz="0" w:space="0" w:color="auto"/>
            <w:right w:val="none" w:sz="0" w:space="0" w:color="auto"/>
          </w:divBdr>
          <w:divsChild>
            <w:div w:id="1981498664">
              <w:marLeft w:val="0"/>
              <w:marRight w:val="0"/>
              <w:marTop w:val="0"/>
              <w:marBottom w:val="0"/>
              <w:divBdr>
                <w:top w:val="none" w:sz="0" w:space="0" w:color="auto"/>
                <w:left w:val="none" w:sz="0" w:space="0" w:color="auto"/>
                <w:bottom w:val="none" w:sz="0" w:space="0" w:color="auto"/>
                <w:right w:val="none" w:sz="0" w:space="0" w:color="auto"/>
              </w:divBdr>
            </w:div>
          </w:divsChild>
        </w:div>
        <w:div w:id="839276021">
          <w:marLeft w:val="0"/>
          <w:marRight w:val="0"/>
          <w:marTop w:val="0"/>
          <w:marBottom w:val="0"/>
          <w:divBdr>
            <w:top w:val="single" w:sz="12" w:space="0" w:color="DBDBDB"/>
            <w:left w:val="single" w:sz="12" w:space="0" w:color="DBDBDB"/>
            <w:bottom w:val="single" w:sz="12" w:space="0" w:color="DBDBDB"/>
            <w:right w:val="single" w:sz="12" w:space="0" w:color="DBDBDB"/>
          </w:divBdr>
        </w:div>
        <w:div w:id="1240793857">
          <w:marLeft w:val="0"/>
          <w:marRight w:val="0"/>
          <w:marTop w:val="0"/>
          <w:marBottom w:val="0"/>
          <w:divBdr>
            <w:top w:val="single" w:sz="12" w:space="0" w:color="DBDBDB"/>
            <w:left w:val="single" w:sz="12" w:space="0" w:color="DBDBDB"/>
            <w:bottom w:val="single" w:sz="12" w:space="0" w:color="DBDBDB"/>
            <w:right w:val="single" w:sz="12" w:space="0" w:color="DBDBDB"/>
          </w:divBdr>
        </w:div>
        <w:div w:id="1693340224">
          <w:marLeft w:val="0"/>
          <w:marRight w:val="0"/>
          <w:marTop w:val="0"/>
          <w:marBottom w:val="0"/>
          <w:divBdr>
            <w:top w:val="none" w:sz="0" w:space="0" w:color="auto"/>
            <w:left w:val="none" w:sz="0" w:space="0" w:color="auto"/>
            <w:bottom w:val="none" w:sz="0" w:space="0" w:color="auto"/>
            <w:right w:val="none" w:sz="0" w:space="0" w:color="auto"/>
          </w:divBdr>
          <w:divsChild>
            <w:div w:id="887108116">
              <w:marLeft w:val="0"/>
              <w:marRight w:val="0"/>
              <w:marTop w:val="0"/>
              <w:marBottom w:val="0"/>
              <w:divBdr>
                <w:top w:val="none" w:sz="0" w:space="0" w:color="auto"/>
                <w:left w:val="none" w:sz="0" w:space="0" w:color="auto"/>
                <w:bottom w:val="none" w:sz="0" w:space="0" w:color="auto"/>
                <w:right w:val="none" w:sz="0" w:space="0" w:color="auto"/>
              </w:divBdr>
            </w:div>
          </w:divsChild>
        </w:div>
        <w:div w:id="1774091426">
          <w:marLeft w:val="0"/>
          <w:marRight w:val="0"/>
          <w:marTop w:val="0"/>
          <w:marBottom w:val="0"/>
          <w:divBdr>
            <w:top w:val="none" w:sz="0" w:space="0" w:color="auto"/>
            <w:left w:val="none" w:sz="0" w:space="0" w:color="auto"/>
            <w:bottom w:val="none" w:sz="0" w:space="0" w:color="auto"/>
            <w:right w:val="none" w:sz="0" w:space="0" w:color="auto"/>
          </w:divBdr>
        </w:div>
        <w:div w:id="188220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0470429396/content/id/T5.3-1" TargetMode="External"/><Relationship Id="rId13" Type="http://schemas.openxmlformats.org/officeDocument/2006/relationships/hyperlink" Target="http://www.guidesta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jude.org/" TargetMode="External"/><Relationship Id="rId12" Type="http://schemas.openxmlformats.org/officeDocument/2006/relationships/hyperlink" Target="http://guidesta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igsaw.vitalsource.com/books/9780470429396/content/id/T5.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igsaw.vitalsource.com/books/9780470429396/content/id/NTcase5-3-1" TargetMode="External"/><Relationship Id="rId5" Type="http://schemas.openxmlformats.org/officeDocument/2006/relationships/footnotes" Target="footnotes.xml"/><Relationship Id="rId15" Type="http://schemas.openxmlformats.org/officeDocument/2006/relationships/hyperlink" Target="http://www.sec.gov/edgar.shtml" TargetMode="External"/><Relationship Id="rId10" Type="http://schemas.openxmlformats.org/officeDocument/2006/relationships/hyperlink" Target="https://jigsaw.vitalsource.com/books/9780470429396/content/id/NTcase5-3-1" TargetMode="External"/><Relationship Id="rId4" Type="http://schemas.openxmlformats.org/officeDocument/2006/relationships/webSettings" Target="webSettings.xml"/><Relationship Id="rId9" Type="http://schemas.openxmlformats.org/officeDocument/2006/relationships/hyperlink" Target="https://jigsaw.vitalsource.com/books/9780470429396/content/id/T5.3-2" TargetMode="External"/><Relationship Id="rId14" Type="http://schemas.openxmlformats.org/officeDocument/2006/relationships/hyperlink" Target="https://jigsaw.vitalsource.com/books/9780470429396/content/id/NTcase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Links>
    <vt:vector size="72" baseType="variant">
      <vt:variant>
        <vt:i4>2752557</vt:i4>
      </vt:variant>
      <vt:variant>
        <vt:i4>33</vt:i4>
      </vt:variant>
      <vt:variant>
        <vt:i4>0</vt:i4>
      </vt:variant>
      <vt:variant>
        <vt:i4>5</vt:i4>
      </vt:variant>
      <vt:variant>
        <vt:lpwstr>http://sec.gov/</vt:lpwstr>
      </vt:variant>
      <vt:variant>
        <vt:lpwstr/>
      </vt:variant>
      <vt:variant>
        <vt:i4>4653128</vt:i4>
      </vt:variant>
      <vt:variant>
        <vt:i4>30</vt:i4>
      </vt:variant>
      <vt:variant>
        <vt:i4>0</vt:i4>
      </vt:variant>
      <vt:variant>
        <vt:i4>5</vt:i4>
      </vt:variant>
      <vt:variant>
        <vt:lpwstr>https://jigsaw.vitalsource.com/books/9780470429396/content/id/T5.3-3</vt:lpwstr>
      </vt:variant>
      <vt:variant>
        <vt:lpwstr/>
      </vt:variant>
      <vt:variant>
        <vt:i4>4522056</vt:i4>
      </vt:variant>
      <vt:variant>
        <vt:i4>27</vt:i4>
      </vt:variant>
      <vt:variant>
        <vt:i4>0</vt:i4>
      </vt:variant>
      <vt:variant>
        <vt:i4>5</vt:i4>
      </vt:variant>
      <vt:variant>
        <vt:lpwstr>https://jigsaw.vitalsource.com/books/9780470429396/content/id/T5.3-1</vt:lpwstr>
      </vt:variant>
      <vt:variant>
        <vt:lpwstr/>
      </vt:variant>
      <vt:variant>
        <vt:i4>3211381</vt:i4>
      </vt:variant>
      <vt:variant>
        <vt:i4>24</vt:i4>
      </vt:variant>
      <vt:variant>
        <vt:i4>0</vt:i4>
      </vt:variant>
      <vt:variant>
        <vt:i4>5</vt:i4>
      </vt:variant>
      <vt:variant>
        <vt:lpwstr>http://www.sec.gov/edgar.shtml</vt:lpwstr>
      </vt:variant>
      <vt:variant>
        <vt:lpwstr/>
      </vt:variant>
      <vt:variant>
        <vt:i4>131143</vt:i4>
      </vt:variant>
      <vt:variant>
        <vt:i4>21</vt:i4>
      </vt:variant>
      <vt:variant>
        <vt:i4>0</vt:i4>
      </vt:variant>
      <vt:variant>
        <vt:i4>5</vt:i4>
      </vt:variant>
      <vt:variant>
        <vt:lpwstr>https://jigsaw.vitalsource.com/books/9780470429396/content/id/NTcase5-3-2</vt:lpwstr>
      </vt:variant>
      <vt:variant>
        <vt:lpwstr/>
      </vt:variant>
      <vt:variant>
        <vt:i4>5111823</vt:i4>
      </vt:variant>
      <vt:variant>
        <vt:i4>18</vt:i4>
      </vt:variant>
      <vt:variant>
        <vt:i4>0</vt:i4>
      </vt:variant>
      <vt:variant>
        <vt:i4>5</vt:i4>
      </vt:variant>
      <vt:variant>
        <vt:lpwstr>http://www.guidestar.org/</vt:lpwstr>
      </vt:variant>
      <vt:variant>
        <vt:lpwstr/>
      </vt:variant>
      <vt:variant>
        <vt:i4>5111894</vt:i4>
      </vt:variant>
      <vt:variant>
        <vt:i4>15</vt:i4>
      </vt:variant>
      <vt:variant>
        <vt:i4>0</vt:i4>
      </vt:variant>
      <vt:variant>
        <vt:i4>5</vt:i4>
      </vt:variant>
      <vt:variant>
        <vt:lpwstr>http://guidestar.org/</vt:lpwstr>
      </vt:variant>
      <vt:variant>
        <vt:lpwstr/>
      </vt:variant>
      <vt:variant>
        <vt:i4>131143</vt:i4>
      </vt:variant>
      <vt:variant>
        <vt:i4>12</vt:i4>
      </vt:variant>
      <vt:variant>
        <vt:i4>0</vt:i4>
      </vt:variant>
      <vt:variant>
        <vt:i4>5</vt:i4>
      </vt:variant>
      <vt:variant>
        <vt:lpwstr>https://jigsaw.vitalsource.com/books/9780470429396/content/id/NTcase5-3-1</vt:lpwstr>
      </vt:variant>
      <vt:variant>
        <vt:lpwstr/>
      </vt:variant>
      <vt:variant>
        <vt:i4>131143</vt:i4>
      </vt:variant>
      <vt:variant>
        <vt:i4>9</vt:i4>
      </vt:variant>
      <vt:variant>
        <vt:i4>0</vt:i4>
      </vt:variant>
      <vt:variant>
        <vt:i4>5</vt:i4>
      </vt:variant>
      <vt:variant>
        <vt:lpwstr>https://jigsaw.vitalsource.com/books/9780470429396/content/id/NTcase5-3-1</vt:lpwstr>
      </vt:variant>
      <vt:variant>
        <vt:lpwstr/>
      </vt:variant>
      <vt:variant>
        <vt:i4>4587592</vt:i4>
      </vt:variant>
      <vt:variant>
        <vt:i4>6</vt:i4>
      </vt:variant>
      <vt:variant>
        <vt:i4>0</vt:i4>
      </vt:variant>
      <vt:variant>
        <vt:i4>5</vt:i4>
      </vt:variant>
      <vt:variant>
        <vt:lpwstr>https://jigsaw.vitalsource.com/books/9780470429396/content/id/T5.3-2</vt:lpwstr>
      </vt:variant>
      <vt:variant>
        <vt:lpwstr/>
      </vt:variant>
      <vt:variant>
        <vt:i4>4522056</vt:i4>
      </vt:variant>
      <vt:variant>
        <vt:i4>3</vt:i4>
      </vt:variant>
      <vt:variant>
        <vt:i4>0</vt:i4>
      </vt:variant>
      <vt:variant>
        <vt:i4>5</vt:i4>
      </vt:variant>
      <vt:variant>
        <vt:lpwstr>https://jigsaw.vitalsource.com/books/9780470429396/content/id/T5.3-1</vt:lpwstr>
      </vt:variant>
      <vt:variant>
        <vt:lpwstr/>
      </vt:variant>
      <vt:variant>
        <vt:i4>2424892</vt:i4>
      </vt:variant>
      <vt:variant>
        <vt:i4>0</vt:i4>
      </vt:variant>
      <vt:variant>
        <vt:i4>0</vt:i4>
      </vt:variant>
      <vt:variant>
        <vt:i4>5</vt:i4>
      </vt:variant>
      <vt:variant>
        <vt:lpwstr>http://www.stjude.org/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Pavlenko</dc:creator>
  <cp:keywords/>
  <dc:description/>
  <cp:lastModifiedBy>Yadira Saunders</cp:lastModifiedBy>
  <cp:revision>2</cp:revision>
  <dcterms:created xsi:type="dcterms:W3CDTF">2017-07-06T03:37:00Z</dcterms:created>
  <dcterms:modified xsi:type="dcterms:W3CDTF">2017-07-06T03:37:00Z</dcterms:modified>
</cp:coreProperties>
</file>